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7B" w:rsidRDefault="0019137B" w:rsidP="0019137B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6F6B78" w:rsidRDefault="006F6B78" w:rsidP="0019137B">
      <w:pPr>
        <w:spacing w:line="0" w:lineRule="atLeast"/>
        <w:jc w:val="center"/>
        <w:rPr>
          <w:b/>
          <w:sz w:val="24"/>
          <w:szCs w:val="24"/>
        </w:rPr>
      </w:pPr>
      <w:r w:rsidRPr="006F6B78">
        <w:rPr>
          <w:b/>
          <w:noProof/>
          <w:sz w:val="24"/>
          <w:szCs w:val="24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КОРР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КОРРЕК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78" w:rsidRDefault="006F6B78" w:rsidP="0019137B">
      <w:pPr>
        <w:spacing w:line="0" w:lineRule="atLeast"/>
        <w:jc w:val="center"/>
        <w:rPr>
          <w:b/>
          <w:sz w:val="24"/>
          <w:szCs w:val="24"/>
        </w:rPr>
      </w:pPr>
    </w:p>
    <w:p w:rsidR="006F6B78" w:rsidRDefault="006F6B78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237456">
        <w:rPr>
          <w:b/>
          <w:sz w:val="24"/>
          <w:szCs w:val="24"/>
        </w:rPr>
        <w:lastRenderedPageBreak/>
        <w:t>ТЕМАТИЧЕСКОЕ ПЛАНИРОВАНИЕ</w:t>
      </w:r>
    </w:p>
    <w:p w:rsidR="0019137B" w:rsidRPr="00237456" w:rsidRDefault="0019137B" w:rsidP="0019137B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19137B" w:rsidRPr="00237456" w:rsidTr="00856AEF">
        <w:tc>
          <w:tcPr>
            <w:tcW w:w="1430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19137B" w:rsidRPr="00237456" w:rsidTr="00856AEF">
        <w:tc>
          <w:tcPr>
            <w:tcW w:w="1430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137B" w:rsidRPr="00237456" w:rsidTr="00856AEF">
        <w:trPr>
          <w:trHeight w:val="292"/>
        </w:trPr>
        <w:tc>
          <w:tcPr>
            <w:tcW w:w="1430" w:type="dxa"/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19137B" w:rsidRPr="0072177D" w:rsidRDefault="0019137B" w:rsidP="00856AEF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9137B" w:rsidRPr="00237456" w:rsidTr="00856AEF">
        <w:tc>
          <w:tcPr>
            <w:tcW w:w="1430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</w:p>
        </w:tc>
      </w:tr>
      <w:tr w:rsidR="0019137B" w:rsidRPr="00237456" w:rsidTr="00856AEF">
        <w:tc>
          <w:tcPr>
            <w:tcW w:w="5994" w:type="dxa"/>
            <w:gridSpan w:val="2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Pr="00237456" w:rsidRDefault="0019137B" w:rsidP="0019137B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19137B" w:rsidRPr="00237456" w:rsidRDefault="0019137B" w:rsidP="0019137B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851"/>
        <w:gridCol w:w="851"/>
        <w:gridCol w:w="6376"/>
      </w:tblGrid>
      <w:tr w:rsidR="0019137B" w:rsidRPr="00237456" w:rsidTr="00856AEF">
        <w:tc>
          <w:tcPr>
            <w:tcW w:w="1703" w:type="dxa"/>
            <w:gridSpan w:val="2"/>
          </w:tcPr>
          <w:p w:rsidR="0019137B" w:rsidRPr="00237456" w:rsidRDefault="0019137B" w:rsidP="00856AE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19137B" w:rsidRPr="00237456" w:rsidRDefault="0019137B" w:rsidP="00856AE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19137B" w:rsidRPr="00237456" w:rsidTr="00856AEF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19137B" w:rsidRPr="00237456" w:rsidTr="00856AEF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37B" w:rsidRPr="00237456" w:rsidRDefault="0019137B" w:rsidP="00856AEF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37B" w:rsidRPr="00237456" w:rsidRDefault="0019137B" w:rsidP="00856AEF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</w:t>
            </w:r>
            <w:r w:rsidRPr="00237456">
              <w:rPr>
                <w:b/>
                <w:spacing w:val="-15"/>
                <w:sz w:val="24"/>
                <w:szCs w:val="24"/>
              </w:rPr>
              <w:t>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9137B">
              <w:rPr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 Исследование школьной мотивации учащихся.</w:t>
            </w: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</w:t>
            </w:r>
            <w:r>
              <w:rPr>
                <w:b/>
                <w:iCs/>
                <w:sz w:val="24"/>
                <w:szCs w:val="24"/>
              </w:rPr>
              <w:t xml:space="preserve">ррекционно-развивающий блок (31 </w:t>
            </w:r>
            <w:r w:rsidRPr="00237456">
              <w:rPr>
                <w:b/>
                <w:iCs/>
                <w:sz w:val="24"/>
                <w:szCs w:val="24"/>
              </w:rPr>
              <w:t>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9137B">
              <w:rPr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137B">
              <w:rPr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слуховой памяти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37456">
              <w:rPr>
                <w:color w:val="000000"/>
                <w:sz w:val="24"/>
                <w:szCs w:val="24"/>
              </w:rPr>
              <w:t>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9137B">
              <w:rPr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9137B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9137B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9137B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наглядно-образного мышления, произвольного внимания,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9137B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9137B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зрительного восприятия, мышления, слуховых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9137B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 и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7456">
              <w:rPr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9137B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синтеза, зрительной памяти, формирование элементов самоконтроля.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подчиняться словесным указаниям взрослого, мышления,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9137B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пространственного восприятия, наглядно-образного мышления, гибкости мыслительной деятельности.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137B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непосредственной зрительной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9137B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пространственных представлений, зрительной и слуховой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490939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9137B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умений выделять существенные признаки, соотносить с образцом. Развитие слуховых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синтеза, пространственных представлений, воображения.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ощущений, опосредованной памяти, мышления и мышечных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слуховых ощущений, произвольного внимания, </w:t>
            </w:r>
            <w:r w:rsidRPr="00237456">
              <w:rPr>
                <w:color w:val="000000"/>
                <w:sz w:val="24"/>
                <w:szCs w:val="24"/>
              </w:rPr>
              <w:lastRenderedPageBreak/>
              <w:t>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и зрительных ощущений, опосредованной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наглядно-образного мышления и слухового восприятия.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словесной памяти и произвольного внимания, пространственных представлений.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воспроизводить образец. Развитие мышления и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зрительных ощущений,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зрительной непосредственной памяти, мышечных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7456">
              <w:rPr>
                <w:sz w:val="24"/>
                <w:szCs w:val="24"/>
              </w:rPr>
              <w:t>0.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внутреннего плана действия, зрительной опосредованной памяти,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зрительного восприятия формы.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</w:t>
            </w: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Pr="00237456">
              <w:rPr>
                <w:b/>
                <w:sz w:val="24"/>
                <w:szCs w:val="24"/>
              </w:rPr>
              <w:t>Итоговый диагностический блок (2 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Исследование школьной мотивации.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  <w:tr w:rsidR="006D6454" w:rsidRPr="00237456" w:rsidTr="00856AEF">
        <w:tc>
          <w:tcPr>
            <w:tcW w:w="851" w:type="dxa"/>
          </w:tcPr>
          <w:p w:rsidR="006D6454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852" w:type="dxa"/>
          </w:tcPr>
          <w:p w:rsidR="006D6454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6454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6D6454" w:rsidRPr="00237456" w:rsidRDefault="006D6454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6D6454" w:rsidRPr="00237456" w:rsidRDefault="006D6454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19137B" w:rsidRPr="00237456" w:rsidRDefault="0019137B" w:rsidP="0019137B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19137B" w:rsidRPr="00237456" w:rsidRDefault="0019137B" w:rsidP="0019137B">
      <w:pPr>
        <w:spacing w:line="0" w:lineRule="atLeast"/>
        <w:rPr>
          <w:sz w:val="24"/>
          <w:szCs w:val="24"/>
        </w:rPr>
      </w:pPr>
    </w:p>
    <w:p w:rsidR="0019137B" w:rsidRPr="00237456" w:rsidRDefault="0019137B" w:rsidP="0019137B">
      <w:pPr>
        <w:spacing w:line="0" w:lineRule="atLeast"/>
        <w:rPr>
          <w:sz w:val="24"/>
          <w:szCs w:val="24"/>
        </w:rPr>
      </w:pPr>
    </w:p>
    <w:p w:rsidR="00474E9B" w:rsidRDefault="00474E9B"/>
    <w:sectPr w:rsidR="00474E9B" w:rsidSect="00CD6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7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137B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0939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0455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6454"/>
    <w:rsid w:val="006D71F4"/>
    <w:rsid w:val="006E0A38"/>
    <w:rsid w:val="006E67A3"/>
    <w:rsid w:val="006F1C7A"/>
    <w:rsid w:val="006F2622"/>
    <w:rsid w:val="006F27E0"/>
    <w:rsid w:val="006F6B78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B7C36-DD4F-466F-8426-CE1D7E8D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13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91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13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1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9</cp:revision>
  <cp:lastPrinted>2020-09-09T11:18:00Z</cp:lastPrinted>
  <dcterms:created xsi:type="dcterms:W3CDTF">2019-10-01T08:44:00Z</dcterms:created>
  <dcterms:modified xsi:type="dcterms:W3CDTF">2020-09-28T08:31:00Z</dcterms:modified>
</cp:coreProperties>
</file>