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52" w:rsidRPr="00BE0F94" w:rsidRDefault="00721C52" w:rsidP="00721C5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7300A" w:rsidRPr="00721C52" w:rsidRDefault="008C7387" w:rsidP="008C738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390005" cy="8794088"/>
            <wp:effectExtent l="19050" t="0" r="0" b="0"/>
            <wp:docPr id="2" name="Рисунок 1" descr="C:\Users\лена\Pictures\2020-09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 И, 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гласном звуке [у], буквах У, у.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 С, с.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[р], [р’], буквах Р, р.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Е – показатель мягкости согласных.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[т], [т’], буквы Д, д, Т, т 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мягком согласном  звуке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Ш,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[ж],буквы Ж, ж.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Ё, ё – показатель мягкости.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A582F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1E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Ю,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Ц, ц.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[щ’], буквы Щ, щ.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щ 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C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FA05AF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6E61EC" w:rsidRDefault="00FA05AF" w:rsidP="006E61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61EC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6E61EC"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ч)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584F6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D" w:rsidRPr="007A2449" w:rsidRDefault="007A2449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7A2449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49" w:rsidRPr="007A6451" w:rsidRDefault="007A2449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7A6451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503831" w:rsidRDefault="0050383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831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 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5. Жили-были буквы (7 ч)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1A6C9A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Cаша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29.03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FB0E55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3A582F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A5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>. Апрель, апрель! Звенит капель! (5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4A3489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7A6451" w:rsidRPr="00B15F08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«Ручей».  Е.Трутнева «Когда это бывает?»</w:t>
            </w:r>
          </w:p>
        </w:tc>
        <w:tc>
          <w:tcPr>
            <w:tcW w:w="1275" w:type="dxa"/>
          </w:tcPr>
          <w:p w:rsidR="007A6451" w:rsidRPr="00B15F08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>И в шутку, и всерьёз (6 ч)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«Привет». И. Пивоварова «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О.Григорьев «Стук», 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Я и мои друзья (7 ч).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Орлов «Кто первый?». С. Михалков «Бараны».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6E6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</w:t>
            </w:r>
            <w:r w:rsidR="006E61EC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bookmarkStart w:id="0" w:name="_GoBack"/>
            <w:bookmarkEnd w:id="0"/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7A6451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7A6451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05611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</w:t>
            </w:r>
            <w:r w:rsidR="006E61EC" w:rsidRPr="007A6451">
              <w:rPr>
                <w:rFonts w:ascii="Times New Roman" w:hAnsi="Times New Roman"/>
                <w:sz w:val="24"/>
                <w:szCs w:val="24"/>
              </w:rPr>
              <w:t>Из старинных книг. Обобщение по теме «О братьях наших меньших».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Default="004868DF"/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300A"/>
    <w:rsid w:val="00003499"/>
    <w:rsid w:val="00067E75"/>
    <w:rsid w:val="000E32BC"/>
    <w:rsid w:val="00117E5C"/>
    <w:rsid w:val="0014235B"/>
    <w:rsid w:val="00164F4C"/>
    <w:rsid w:val="001E3A5C"/>
    <w:rsid w:val="00266442"/>
    <w:rsid w:val="002717D4"/>
    <w:rsid w:val="00271953"/>
    <w:rsid w:val="00277C22"/>
    <w:rsid w:val="003228B8"/>
    <w:rsid w:val="00327BA6"/>
    <w:rsid w:val="00396135"/>
    <w:rsid w:val="003A582F"/>
    <w:rsid w:val="00424F4A"/>
    <w:rsid w:val="004868DF"/>
    <w:rsid w:val="00503831"/>
    <w:rsid w:val="00584F6D"/>
    <w:rsid w:val="005D0564"/>
    <w:rsid w:val="006577DF"/>
    <w:rsid w:val="006E61EC"/>
    <w:rsid w:val="00721C52"/>
    <w:rsid w:val="007A0591"/>
    <w:rsid w:val="007A2449"/>
    <w:rsid w:val="007A6451"/>
    <w:rsid w:val="007B187B"/>
    <w:rsid w:val="007C2519"/>
    <w:rsid w:val="007C3F1B"/>
    <w:rsid w:val="007D16B5"/>
    <w:rsid w:val="00801C31"/>
    <w:rsid w:val="008C7387"/>
    <w:rsid w:val="008E420D"/>
    <w:rsid w:val="00930996"/>
    <w:rsid w:val="00944D98"/>
    <w:rsid w:val="0097300A"/>
    <w:rsid w:val="00A0793A"/>
    <w:rsid w:val="00B15F08"/>
    <w:rsid w:val="00B20B14"/>
    <w:rsid w:val="00B93208"/>
    <w:rsid w:val="00BF6DA7"/>
    <w:rsid w:val="00C03CBF"/>
    <w:rsid w:val="00C775CA"/>
    <w:rsid w:val="00C92FCE"/>
    <w:rsid w:val="00CC6C21"/>
    <w:rsid w:val="00CF0E5F"/>
    <w:rsid w:val="00DD34BA"/>
    <w:rsid w:val="00EB3A60"/>
    <w:rsid w:val="00F4402D"/>
    <w:rsid w:val="00FA05AF"/>
    <w:rsid w:val="00FB0E55"/>
    <w:rsid w:val="00FE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лена</cp:lastModifiedBy>
  <cp:revision>27</cp:revision>
  <cp:lastPrinted>2019-09-10T20:41:00Z</cp:lastPrinted>
  <dcterms:created xsi:type="dcterms:W3CDTF">2019-09-10T14:15:00Z</dcterms:created>
  <dcterms:modified xsi:type="dcterms:W3CDTF">2020-09-16T08:01:00Z</dcterms:modified>
</cp:coreProperties>
</file>